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idu3zifz4xph" w:id="0"/>
      <w:bookmarkEnd w:id="0"/>
      <w:r w:rsidDel="00000000" w:rsidR="00000000" w:rsidRPr="00000000">
        <w:rPr>
          <w:rtl w:val="0"/>
        </w:rPr>
        <w:t xml:space="preserve">Počítačová predikce syntetické dostupnosti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222222"/>
          <w:sz w:val="19"/>
          <w:szCs w:val="19"/>
          <w:highlight w:val="white"/>
          <w:rtl w:val="0"/>
        </w:rPr>
        <w:t xml:space="preserve">Milan Voršilák </w:t>
      </w:r>
      <w:r w:rsidDel="00000000" w:rsidR="00000000" w:rsidRPr="00000000">
        <w:rPr>
          <w:i w:val="1"/>
          <w:color w:val="222222"/>
          <w:sz w:val="19"/>
          <w:szCs w:val="19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222222"/>
          <w:sz w:val="19"/>
          <w:szCs w:val="19"/>
          <w:highlight w:val="white"/>
          <w:rtl w:val="0"/>
        </w:rPr>
        <w:t xml:space="preserve">, Daniel Svozil </w:t>
      </w:r>
      <w:r w:rsidDel="00000000" w:rsidR="00000000" w:rsidRPr="00000000">
        <w:rPr>
          <w:i w:val="1"/>
          <w:color w:val="222222"/>
          <w:sz w:val="19"/>
          <w:szCs w:val="19"/>
          <w:highlight w:val="white"/>
          <w:vertAlign w:val="superscript"/>
          <w:rtl w:val="0"/>
        </w:rPr>
        <w:t xml:space="preserve">1,2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222222"/>
          <w:sz w:val="19"/>
          <w:szCs w:val="19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222222"/>
          <w:sz w:val="19"/>
          <w:szCs w:val="19"/>
          <w:highlight w:val="white"/>
          <w:rtl w:val="0"/>
        </w:rPr>
        <w:t xml:space="preserve"> CZ-OPENSCREEN &amp; Laboratoř informatiky a chemie, Fakulta chemické technologie, VŠCHT Praha, Technická 5, 166 28 Praha 6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222222"/>
          <w:sz w:val="19"/>
          <w:szCs w:val="19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i w:val="1"/>
          <w:color w:val="222222"/>
          <w:sz w:val="19"/>
          <w:szCs w:val="19"/>
          <w:highlight w:val="white"/>
          <w:rtl w:val="0"/>
        </w:rPr>
        <w:t xml:space="preserve"> CZ-OPENSCREEN, Ústav molekulární genetiky AV ČR, v. v. i., Vídeňská 1083, 142 20 Praha 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Počet generovaných struktur při počítačovém </w:t>
      </w:r>
      <w:r w:rsidDel="00000000" w:rsidR="00000000" w:rsidRPr="00000000">
        <w:rPr>
          <w:i w:val="1"/>
          <w:rtl w:val="0"/>
        </w:rPr>
        <w:t xml:space="preserve">de novo</w:t>
      </w:r>
      <w:r w:rsidDel="00000000" w:rsidR="00000000" w:rsidRPr="00000000">
        <w:rPr>
          <w:rtl w:val="0"/>
        </w:rPr>
        <w:t xml:space="preserve"> návrhu běžně dosahuje desítek či stovek tisíc, a proto je potřeba pro další zpracování odfiltrovat takové, které nemají požadované vlastnosti. Mezi tyto vlastnosti patří např. biologická aktivita, kdy v první fázi pouze rozhodujeme o tom, zda je či není daná látka aktivní, toxicita či syntetická dostupnost. Pro takové filtrování se běžně používají klasifikační metody, pro jejichž naučení je třeba mít k dispozici trénovací množinu obsahující příklady z obou dvou tříd. Takovou množinu je relativně snadné zkonstruovat v případě biologické aktivity či toxicity, kteréžto vlastnosti je  možné experimentálně určit. Syntetická dostupnost je ovšem vlastnost, kterou nelze experimentálně charakterizovat a pro konstrukci klasifikátoru tak nejsou k dispozici příklady struktur obtížně syntetizovatelných. Proto jsme navrhli metodu </w:t>
      </w:r>
      <w:r w:rsidDel="00000000" w:rsidR="00000000" w:rsidRPr="00000000">
        <w:rPr>
          <w:rtl w:val="0"/>
        </w:rPr>
        <w:t xml:space="preserve">Nonpher</w:t>
      </w:r>
      <w:r w:rsidDel="00000000" w:rsidR="00000000" w:rsidRPr="00000000">
        <w:rPr>
          <w:rtl w:val="0"/>
        </w:rPr>
        <w:t xml:space="preserve"> pro návrh synteticky nedostupných sloučenin založenou na algoritmu Molpher. Za použití Molpheru byly synteticky dostupné struktury transformovány pomocí jednoduchých strukturních změn (např. přidej/změň/uber atom/vazbu) na sloučeniny mnohem komplexnější a tudíž obtížně syntetizovatelné. Nonpher metoda byla porovnána s dalšími možnými přístupy pro návrh obtížně syntetizovatelných látek. Pro porovnání byla použita klasifikace pomocí </w:t>
      </w:r>
      <w:r w:rsidDel="00000000" w:rsidR="00000000" w:rsidRPr="00000000">
        <w:rPr>
          <w:i w:val="1"/>
          <w:rtl w:val="0"/>
        </w:rPr>
        <w:t xml:space="preserve">random forest</w:t>
      </w:r>
      <w:r w:rsidDel="00000000" w:rsidR="00000000" w:rsidRPr="00000000">
        <w:rPr>
          <w:rtl w:val="0"/>
        </w:rPr>
        <w:t xml:space="preserve"> klasifikátoru. Kvalita jeho predikce byla vyhodnocena za použití externí testovací množiny sestávající z publikovaných látek, obtížnost jejichž syntézy byla konsensuálně určena několika medicinálními či organickými chemiky. Námi navržený postup Nonpher dosáhl ze všech testovaných postupů nejvyšší přesnosti (85%) a může proto významným způsobem přispět k dalšímu rozvoji počítačové predikce syntetické dostupnosti.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  <w:jc w:val="center"/>
    </w:pPr>
    <w:rPr>
      <w:rFonts w:ascii="Verdana" w:cs="Verdana" w:eastAsia="Verdana" w:hAnsi="Verdana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