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3E21843" w14:paraId="1D01AA98" wp14:textId="43F42596">
      <w:pPr>
        <w:pStyle w:val="Heading2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cs-CZ"/>
        </w:rPr>
      </w:pPr>
    </w:p>
    <w:p xmlns:wp14="http://schemas.microsoft.com/office/word/2010/wordml" w:rsidP="10E2E7DB" w14:paraId="0158848E" wp14:textId="0F9BF286">
      <w:pPr>
        <w:pStyle w:val="Normal"/>
        <w:jc w:val="center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</w:pPr>
      <w:proofErr w:type="spellStart"/>
      <w:r w:rsidRPr="10E2E7DB" w:rsidR="33E2184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>Feature</w:t>
      </w:r>
      <w:proofErr w:type="spellEnd"/>
      <w:r w:rsidRPr="10E2E7DB" w:rsidR="33E2184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33E2184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>interrelation</w:t>
      </w:r>
      <w:proofErr w:type="spellEnd"/>
      <w:r w:rsidRPr="10E2E7DB" w:rsidR="33E2184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33E2184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>profiling</w:t>
      </w:r>
      <w:proofErr w:type="spellEnd"/>
    </w:p>
    <w:p xmlns:wp14="http://schemas.microsoft.com/office/word/2010/wordml" w:rsidP="10E2E7DB" w14:paraId="42A4DDEA" wp14:textId="325B8B28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cs-CZ"/>
        </w:rPr>
      </w:pPr>
      <w:r w:rsidRPr="10E2E7DB" w:rsidR="33E21843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I. </w:t>
      </w:r>
      <w:proofErr w:type="spellStart"/>
      <w:r w:rsidRPr="10E2E7DB" w:rsidR="33E21843">
        <w:rPr>
          <w:rFonts w:ascii="Arial" w:hAnsi="Arial" w:eastAsia="Arial" w:cs="Arial"/>
          <w:noProof w:val="0"/>
          <w:sz w:val="24"/>
          <w:szCs w:val="24"/>
          <w:lang w:val="cs-CZ"/>
        </w:rPr>
        <w:t>Čmelo</w:t>
      </w:r>
      <w:proofErr w:type="spellEnd"/>
      <w:r w:rsidRPr="10E2E7DB" w:rsidR="33E21843">
        <w:rPr>
          <w:rFonts w:ascii="Arial" w:hAnsi="Arial" w:eastAsia="Arial" w:cs="Arial"/>
          <w:noProof w:val="0"/>
          <w:sz w:val="24"/>
          <w:szCs w:val="24"/>
          <w:lang w:val="cs-CZ"/>
        </w:rPr>
        <w:t>, Prague/CZ</w:t>
      </w:r>
      <w:r w:rsidRPr="10E2E7DB" w:rsidR="33E21843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M. </w:t>
      </w:r>
      <w:proofErr w:type="spellStart"/>
      <w:r w:rsidRPr="10E2E7DB" w:rsidR="33E21843">
        <w:rPr>
          <w:rFonts w:ascii="Arial" w:hAnsi="Arial" w:eastAsia="Arial" w:cs="Arial"/>
          <w:noProof w:val="0"/>
          <w:sz w:val="24"/>
          <w:szCs w:val="24"/>
          <w:lang w:val="cs-CZ"/>
        </w:rPr>
        <w:t>Voršilák</w:t>
      </w:r>
      <w:proofErr w:type="spellEnd"/>
      <w:r w:rsidRPr="10E2E7DB" w:rsidR="33E21843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Prague/CZ, W. </w:t>
      </w:r>
      <w:proofErr w:type="spellStart"/>
      <w:r w:rsidRPr="10E2E7DB" w:rsidR="33E21843">
        <w:rPr>
          <w:rFonts w:ascii="Arial" w:hAnsi="Arial" w:eastAsia="Arial" w:cs="Arial"/>
          <w:noProof w:val="0"/>
          <w:sz w:val="24"/>
          <w:szCs w:val="24"/>
          <w:lang w:val="cs-CZ"/>
        </w:rPr>
        <w:t>Dehaen</w:t>
      </w:r>
      <w:proofErr w:type="spellEnd"/>
      <w:r w:rsidRPr="10E2E7DB" w:rsidR="33E21843">
        <w:rPr>
          <w:rFonts w:ascii="Arial" w:hAnsi="Arial" w:eastAsia="Arial" w:cs="Arial"/>
          <w:noProof w:val="0"/>
          <w:sz w:val="24"/>
          <w:szCs w:val="24"/>
          <w:lang w:val="cs-CZ"/>
        </w:rPr>
        <w:t>, Prague/CZ, D. Svozil, Prague/CZ</w:t>
      </w:r>
    </w:p>
    <w:p xmlns:wp14="http://schemas.microsoft.com/office/word/2010/wordml" w:rsidP="10E2E7DB" w14:paraId="771024F0" wp14:textId="668426D7">
      <w:pPr>
        <w:pStyle w:val="Normal"/>
        <w:jc w:val="center"/>
        <w:rPr>
          <w:rFonts w:ascii="Arial" w:hAnsi="Arial" w:eastAsia="Arial" w:cs="Arial"/>
          <w:noProof w:val="0"/>
          <w:sz w:val="24"/>
          <w:szCs w:val="24"/>
          <w:lang w:val="cs-CZ"/>
        </w:rPr>
      </w:pPr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Dr. Ivan Čmelo, UCT Prague, Technická 5, 166 28 Prague 6 – Dejvice</w:t>
      </w:r>
    </w:p>
    <w:p xmlns:wp14="http://schemas.microsoft.com/office/word/2010/wordml" w:rsidP="10E2E7DB" w14:paraId="5F436CA4" wp14:textId="1FA4B6A3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cs-CZ"/>
        </w:rPr>
      </w:pP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Chemical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structures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are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routinely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represented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by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vectors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their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binary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such as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structural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fingerprints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.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vectors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often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serve as a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basis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for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direct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structure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comparisons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in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similarity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searches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and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visualizations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as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input to more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advanced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methods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and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models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.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interrelation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profiling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(FIP)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generic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information-theory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based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extension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these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vector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core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concepts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. FIP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uses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various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forms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Kullback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–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Leibler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divergence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matrices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to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store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information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about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co-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occurrence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probabilities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within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various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sets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chemical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structures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thus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forming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their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interrelation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profiles</w:t>
      </w:r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.</w:t>
      </w:r>
    </w:p>
    <w:p xmlns:wp14="http://schemas.microsoft.com/office/word/2010/wordml" w:rsidP="10E2E7DB" w14:paraId="0FF09A07" wp14:textId="0F617804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cs-CZ"/>
        </w:rPr>
      </w:pP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resulting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interrelation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profiles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can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be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used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to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directly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compare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chemical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structures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and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their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sets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based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not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only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on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amount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individual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shared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features, but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also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on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how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consistent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given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combination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with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 reference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interrelation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profile. To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quantify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said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consistency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given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combination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against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 reference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interrelation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profile,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we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propose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measurement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“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relative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tightness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” (RFT).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For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given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chemical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structure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their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set, RFT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weighs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all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observed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co-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occurrences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against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their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co-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occurrence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scores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within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given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reference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interrelation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profile. RFT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yields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scalar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value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that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describes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overall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match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in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present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combinations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much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like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Tanimoto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similarity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describes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overall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match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in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present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.</w:t>
      </w:r>
    </w:p>
    <w:p xmlns:wp14="http://schemas.microsoft.com/office/word/2010/wordml" w:rsidP="10E2E7DB" w14:paraId="3C9E01CC" wp14:textId="085E1B71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cs-CZ"/>
        </w:rPr>
      </w:pP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This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method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quantifying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relative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“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favorableness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”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combinations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as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well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as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interrelation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profiles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themselves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present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additional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layers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information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that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can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be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easily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used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in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similarity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searches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visualizations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and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other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methods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as a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complement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to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standard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feature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vectors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.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This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poster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shows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theoretical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background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FIP,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its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uses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for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visualization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and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its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pilot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application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on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assessing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synthetic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accessibility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chemical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structures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with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performance</w:t>
      </w:r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close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to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that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of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dedicated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methods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like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SAScore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and SYBA. [1]</w:t>
      </w:r>
    </w:p>
    <w:p w:rsidR="10E2E7DB" w:rsidP="10E2E7DB" w:rsidRDefault="10E2E7DB" w14:paraId="735DDDF7" w14:textId="55482EF0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cs-CZ"/>
        </w:rPr>
      </w:pPr>
    </w:p>
    <w:p w:rsidR="10E2E7DB" w:rsidP="10E2E7DB" w:rsidRDefault="10E2E7DB" w14:paraId="4B557152" w14:textId="4C9843F4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cs-CZ"/>
        </w:rPr>
      </w:pPr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Literature:</w:t>
      </w:r>
    </w:p>
    <w:p w:rsidR="10E2E7DB" w:rsidP="10E2E7DB" w:rsidRDefault="10E2E7DB" w14:paraId="6B66A710" w14:textId="5EE882DF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cs-CZ"/>
        </w:rPr>
      </w:pPr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[1] I.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Čmelo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M.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Voršilák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, D. Svozil, J </w:t>
      </w:r>
      <w:proofErr w:type="spellStart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>Cheminform</w:t>
      </w:r>
      <w:proofErr w:type="spellEnd"/>
      <w:r w:rsidRPr="10E2E7DB" w:rsidR="10E2E7DB">
        <w:rPr>
          <w:rFonts w:ascii="Arial" w:hAnsi="Arial" w:eastAsia="Arial" w:cs="Arial"/>
          <w:noProof w:val="0"/>
          <w:sz w:val="24"/>
          <w:szCs w:val="24"/>
          <w:lang w:val="cs-CZ"/>
        </w:rPr>
        <w:t xml:space="preserve"> 13, 3 (2021).</w:t>
      </w:r>
    </w:p>
    <w:sectPr>
      <w:pgSz w:w="11906" w:h="16838" w:orient="portrait"/>
      <w:pgMar w:top="1701" w:right="1304" w:bottom="170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E32620A"/>
    <w:rsid w:val="01103EF7"/>
    <w:rsid w:val="0461F1A1"/>
    <w:rsid w:val="0608E14E"/>
    <w:rsid w:val="06E7EEA8"/>
    <w:rsid w:val="0751ED9C"/>
    <w:rsid w:val="0873436E"/>
    <w:rsid w:val="0883BF09"/>
    <w:rsid w:val="089874A2"/>
    <w:rsid w:val="08A2D2C1"/>
    <w:rsid w:val="0A635769"/>
    <w:rsid w:val="0AA0BD82"/>
    <w:rsid w:val="0B2539DC"/>
    <w:rsid w:val="0BF52D5C"/>
    <w:rsid w:val="0C69EC8E"/>
    <w:rsid w:val="0D90FDBD"/>
    <w:rsid w:val="0E32BEEA"/>
    <w:rsid w:val="0E60CC15"/>
    <w:rsid w:val="0EFABDA0"/>
    <w:rsid w:val="0FCB5B6A"/>
    <w:rsid w:val="0FE1D5EA"/>
    <w:rsid w:val="109D2C98"/>
    <w:rsid w:val="10CE2629"/>
    <w:rsid w:val="10E2E7DB"/>
    <w:rsid w:val="112C19A5"/>
    <w:rsid w:val="11672BCB"/>
    <w:rsid w:val="11ED58A5"/>
    <w:rsid w:val="12CA20A8"/>
    <w:rsid w:val="139F925A"/>
    <w:rsid w:val="14098591"/>
    <w:rsid w:val="1463BA67"/>
    <w:rsid w:val="1465F109"/>
    <w:rsid w:val="1485A430"/>
    <w:rsid w:val="14D00D99"/>
    <w:rsid w:val="16647FB2"/>
    <w:rsid w:val="17A99AA2"/>
    <w:rsid w:val="17B7A3B3"/>
    <w:rsid w:val="17C078D3"/>
    <w:rsid w:val="18A84EB3"/>
    <w:rsid w:val="18F932B5"/>
    <w:rsid w:val="19A92DA9"/>
    <w:rsid w:val="19DA4C5D"/>
    <w:rsid w:val="1ADA9974"/>
    <w:rsid w:val="1ADBDE8F"/>
    <w:rsid w:val="1DB5BA14"/>
    <w:rsid w:val="1E19D250"/>
    <w:rsid w:val="1E32620A"/>
    <w:rsid w:val="20EB1C3D"/>
    <w:rsid w:val="212F0A5A"/>
    <w:rsid w:val="2286EC9E"/>
    <w:rsid w:val="22A3124A"/>
    <w:rsid w:val="22CADABB"/>
    <w:rsid w:val="22CE6A27"/>
    <w:rsid w:val="239FF0B8"/>
    <w:rsid w:val="24355997"/>
    <w:rsid w:val="2482C7D6"/>
    <w:rsid w:val="24881DAA"/>
    <w:rsid w:val="27B96C79"/>
    <w:rsid w:val="280DE48A"/>
    <w:rsid w:val="294862B9"/>
    <w:rsid w:val="2AA5E82D"/>
    <w:rsid w:val="2ABD3E8F"/>
    <w:rsid w:val="2B1EFFDB"/>
    <w:rsid w:val="2CBAD03C"/>
    <w:rsid w:val="2CE2E729"/>
    <w:rsid w:val="2DF78C33"/>
    <w:rsid w:val="2F099A86"/>
    <w:rsid w:val="2F935C94"/>
    <w:rsid w:val="2FE99C08"/>
    <w:rsid w:val="315514E8"/>
    <w:rsid w:val="31B85C1D"/>
    <w:rsid w:val="31C60087"/>
    <w:rsid w:val="324647E2"/>
    <w:rsid w:val="333FEF59"/>
    <w:rsid w:val="33E21843"/>
    <w:rsid w:val="34042772"/>
    <w:rsid w:val="343F1B71"/>
    <w:rsid w:val="35B68F7F"/>
    <w:rsid w:val="37098D1F"/>
    <w:rsid w:val="374D67B2"/>
    <w:rsid w:val="38A55D80"/>
    <w:rsid w:val="39C7C63B"/>
    <w:rsid w:val="39F9891A"/>
    <w:rsid w:val="3B63969C"/>
    <w:rsid w:val="3BF00B14"/>
    <w:rsid w:val="3C34F670"/>
    <w:rsid w:val="3D7D9BFC"/>
    <w:rsid w:val="3E7F7298"/>
    <w:rsid w:val="3E85E5D4"/>
    <w:rsid w:val="3ECCFA3D"/>
    <w:rsid w:val="3F0E8379"/>
    <w:rsid w:val="3F149F04"/>
    <w:rsid w:val="3F2AB069"/>
    <w:rsid w:val="4038993B"/>
    <w:rsid w:val="40EB3AED"/>
    <w:rsid w:val="421C946C"/>
    <w:rsid w:val="424862FE"/>
    <w:rsid w:val="4265527E"/>
    <w:rsid w:val="4265527E"/>
    <w:rsid w:val="4325F0D1"/>
    <w:rsid w:val="4345C530"/>
    <w:rsid w:val="4354A928"/>
    <w:rsid w:val="448FFE53"/>
    <w:rsid w:val="44CDCA09"/>
    <w:rsid w:val="4549022E"/>
    <w:rsid w:val="45DBD8B6"/>
    <w:rsid w:val="45EDA2CB"/>
    <w:rsid w:val="46297AE6"/>
    <w:rsid w:val="47311E91"/>
    <w:rsid w:val="4746680B"/>
    <w:rsid w:val="475270E2"/>
    <w:rsid w:val="477A4460"/>
    <w:rsid w:val="4798F0D0"/>
    <w:rsid w:val="47FF18D8"/>
    <w:rsid w:val="4829EB4B"/>
    <w:rsid w:val="48B565BF"/>
    <w:rsid w:val="48CCEEF2"/>
    <w:rsid w:val="49137978"/>
    <w:rsid w:val="4A6A5E7D"/>
    <w:rsid w:val="4AAF49D9"/>
    <w:rsid w:val="4D168F63"/>
    <w:rsid w:val="4D3C9E94"/>
    <w:rsid w:val="4DA1FF3F"/>
    <w:rsid w:val="4DCC240F"/>
    <w:rsid w:val="4E3EE2C9"/>
    <w:rsid w:val="4E523FBD"/>
    <w:rsid w:val="4E7D68C1"/>
    <w:rsid w:val="4E9BC818"/>
    <w:rsid w:val="4EAD6796"/>
    <w:rsid w:val="4EBC32F4"/>
    <w:rsid w:val="4EDAAD8E"/>
    <w:rsid w:val="4F30E9EC"/>
    <w:rsid w:val="4F67F470"/>
    <w:rsid w:val="50193922"/>
    <w:rsid w:val="50AA931B"/>
    <w:rsid w:val="51A6F03C"/>
    <w:rsid w:val="51AD433B"/>
    <w:rsid w:val="528363CE"/>
    <w:rsid w:val="5304E6F6"/>
    <w:rsid w:val="53AA2D3A"/>
    <w:rsid w:val="53AF5839"/>
    <w:rsid w:val="5692949E"/>
    <w:rsid w:val="583B054E"/>
    <w:rsid w:val="59601BE1"/>
    <w:rsid w:val="5A08988E"/>
    <w:rsid w:val="5AB2949D"/>
    <w:rsid w:val="5B0E1A46"/>
    <w:rsid w:val="5B47F0C9"/>
    <w:rsid w:val="5B5B1CDD"/>
    <w:rsid w:val="5CA90212"/>
    <w:rsid w:val="5CA9EAA7"/>
    <w:rsid w:val="5D0DCB6F"/>
    <w:rsid w:val="5D3BD89A"/>
    <w:rsid w:val="5E799542"/>
    <w:rsid w:val="5E8D60CA"/>
    <w:rsid w:val="5F9FEE79"/>
    <w:rsid w:val="602E8E00"/>
    <w:rsid w:val="60854371"/>
    <w:rsid w:val="60854371"/>
    <w:rsid w:val="60EE0EFC"/>
    <w:rsid w:val="60F61227"/>
    <w:rsid w:val="61150698"/>
    <w:rsid w:val="620AB731"/>
    <w:rsid w:val="622113D2"/>
    <w:rsid w:val="6289DF5D"/>
    <w:rsid w:val="63905392"/>
    <w:rsid w:val="63A68792"/>
    <w:rsid w:val="64FCA24E"/>
    <w:rsid w:val="652C23F3"/>
    <w:rsid w:val="6546EA7F"/>
    <w:rsid w:val="664B0B71"/>
    <w:rsid w:val="6690E9D0"/>
    <w:rsid w:val="66D68ACB"/>
    <w:rsid w:val="68173353"/>
    <w:rsid w:val="682B606C"/>
    <w:rsid w:val="682E8099"/>
    <w:rsid w:val="6A37800E"/>
    <w:rsid w:val="6A512943"/>
    <w:rsid w:val="6B4FCE19"/>
    <w:rsid w:val="6B52BB75"/>
    <w:rsid w:val="6BD3506F"/>
    <w:rsid w:val="6C504E01"/>
    <w:rsid w:val="6D59E9EA"/>
    <w:rsid w:val="6E18D36E"/>
    <w:rsid w:val="6E6E16C3"/>
    <w:rsid w:val="6E97A692"/>
    <w:rsid w:val="702B896D"/>
    <w:rsid w:val="703376F3"/>
    <w:rsid w:val="70918AAC"/>
    <w:rsid w:val="7123BF24"/>
    <w:rsid w:val="71CF4754"/>
    <w:rsid w:val="71DA3038"/>
    <w:rsid w:val="727AFD3D"/>
    <w:rsid w:val="73632A2F"/>
    <w:rsid w:val="73760099"/>
    <w:rsid w:val="74FEFA90"/>
    <w:rsid w:val="7509ECA9"/>
    <w:rsid w:val="7511D0FA"/>
    <w:rsid w:val="754A3543"/>
    <w:rsid w:val="7567DA87"/>
    <w:rsid w:val="75ED60AE"/>
    <w:rsid w:val="76A5BD0A"/>
    <w:rsid w:val="76A5BD0A"/>
    <w:rsid w:val="77A23834"/>
    <w:rsid w:val="77B30E64"/>
    <w:rsid w:val="784971BC"/>
    <w:rsid w:val="786E8F66"/>
    <w:rsid w:val="79173231"/>
    <w:rsid w:val="795AFA30"/>
    <w:rsid w:val="79E5421D"/>
    <w:rsid w:val="7AAFA893"/>
    <w:rsid w:val="7DDB62D6"/>
    <w:rsid w:val="7F1518D7"/>
    <w:rsid w:val="7F8B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2620A"/>
  <w15:chartTrackingRefBased/>
  <w15:docId w15:val="{C3CEC690-9DE3-4A43-A464-CDCDB96A3AE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1255a768e2a429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2022-03-11T16:50:40.3148402Z</dcterms:created>
  <dcterms:modified xsi:type="dcterms:W3CDTF">2022-03-14T15:39:25.7473380Z</dcterms:modified>
  <dc:creator>Cmelo Ivan</dc:creator>
  <lastModifiedBy>Cmelo Ivan</lastModifiedBy>
</coreProperties>
</file>