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22FB" w14:textId="77777777" w:rsidR="00034DFE" w:rsidRDefault="00034DFE" w:rsidP="00034DFE">
      <w:pPr>
        <w:autoSpaceDE w:val="0"/>
        <w:autoSpaceDN w:val="0"/>
        <w:rPr>
          <w:sz w:val="32"/>
          <w:szCs w:val="32"/>
        </w:rPr>
      </w:pPr>
      <w:r>
        <w:rPr>
          <w:sz w:val="32"/>
          <w:szCs w:val="32"/>
        </w:rPr>
        <w:t>GC content of transposons and of their (animal) host genomes</w:t>
      </w:r>
    </w:p>
    <w:p w14:paraId="69A801A6" w14:textId="77777777" w:rsidR="00034DFE" w:rsidRDefault="00034DFE" w:rsidP="00034DFE">
      <w:pPr>
        <w:autoSpaceDE w:val="0"/>
        <w:autoSpaceDN w:val="0"/>
        <w:rPr>
          <w:rFonts w:ascii="Arial-ItalicMT" w:hAnsi="Arial-ItalicMT"/>
          <w:i/>
          <w:iCs/>
          <w:sz w:val="14"/>
          <w:szCs w:val="14"/>
        </w:rPr>
      </w:pPr>
      <w:r>
        <w:rPr>
          <w:rFonts w:ascii="Arial-ItalicMT" w:hAnsi="Arial-ItalicMT"/>
          <w:i/>
          <w:iCs/>
        </w:rPr>
        <w:t>Radka Symonova</w:t>
      </w:r>
      <w:r>
        <w:rPr>
          <w:rFonts w:ascii="Arial-ItalicMT" w:hAnsi="Arial-ItalicMT"/>
          <w:i/>
          <w:iCs/>
          <w:sz w:val="14"/>
          <w:szCs w:val="14"/>
        </w:rPr>
        <w:t xml:space="preserve">1, 2,* </w:t>
      </w:r>
      <w:r>
        <w:rPr>
          <w:rFonts w:ascii="ArialMT" w:hAnsi="ArialMT"/>
        </w:rPr>
        <w:t xml:space="preserve">, </w:t>
      </w:r>
      <w:r w:rsidRPr="004E4754">
        <w:rPr>
          <w:rFonts w:ascii="ArialMT" w:hAnsi="ArialMT"/>
          <w:i/>
          <w:iCs/>
        </w:rPr>
        <w:t>Jan Kubečka</w:t>
      </w:r>
      <w:r w:rsidRPr="004E4754">
        <w:rPr>
          <w:rFonts w:ascii="Arial-ItalicMT" w:hAnsi="Arial-ItalicMT"/>
          <w:i/>
          <w:iCs/>
          <w:sz w:val="14"/>
          <w:szCs w:val="14"/>
        </w:rPr>
        <w:t>2</w:t>
      </w:r>
      <w:r>
        <w:rPr>
          <w:rFonts w:ascii="ArialMT" w:hAnsi="ArialMT"/>
        </w:rPr>
        <w:t xml:space="preserve"> and </w:t>
      </w:r>
      <w:r>
        <w:rPr>
          <w:rFonts w:ascii="Arial-ItalicMT" w:hAnsi="Arial-ItalicMT"/>
          <w:i/>
          <w:iCs/>
        </w:rPr>
        <w:t>Dominik Matoulek</w:t>
      </w:r>
      <w:r>
        <w:rPr>
          <w:rFonts w:ascii="Arial-ItalicMT" w:hAnsi="Arial-ItalicMT"/>
          <w:i/>
          <w:iCs/>
          <w:sz w:val="14"/>
          <w:szCs w:val="14"/>
        </w:rPr>
        <w:t>3</w:t>
      </w:r>
    </w:p>
    <w:p w14:paraId="6D5430EB" w14:textId="77777777" w:rsidR="00034DFE" w:rsidRDefault="00034DFE" w:rsidP="00034DFE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13"/>
          <w:szCs w:val="13"/>
        </w:rPr>
        <w:t>1</w:t>
      </w:r>
      <w:r>
        <w:rPr>
          <w:rFonts w:ascii="ArialMT" w:hAnsi="ArialMT"/>
          <w:sz w:val="20"/>
          <w:szCs w:val="20"/>
        </w:rPr>
        <w:t>Technical University of Munich</w:t>
      </w:r>
    </w:p>
    <w:p w14:paraId="51E58BA0" w14:textId="77777777" w:rsidR="00034DFE" w:rsidRDefault="00034DFE" w:rsidP="00034DFE">
      <w:pPr>
        <w:autoSpaceDE w:val="0"/>
        <w:autoSpaceDN w:val="0"/>
        <w:rPr>
          <w:rFonts w:ascii="ArialMT" w:hAnsi="ArialMT"/>
          <w:sz w:val="13"/>
          <w:szCs w:val="13"/>
        </w:rPr>
      </w:pPr>
      <w:r>
        <w:rPr>
          <w:rFonts w:ascii="ArialMT" w:hAnsi="ArialMT"/>
          <w:sz w:val="13"/>
          <w:szCs w:val="13"/>
        </w:rPr>
        <w:t>2</w:t>
      </w:r>
      <w:r>
        <w:rPr>
          <w:rFonts w:ascii="Arial" w:hAnsi="Arial" w:cs="Arial"/>
          <w:sz w:val="20"/>
          <w:szCs w:val="20"/>
        </w:rPr>
        <w:t xml:space="preserve">Institute of Hydrobiology, Biology Centre CAS, </w:t>
      </w:r>
      <w:proofErr w:type="spellStart"/>
      <w:r>
        <w:rPr>
          <w:rFonts w:ascii="Arial" w:hAnsi="Arial" w:cs="Arial"/>
          <w:sz w:val="20"/>
          <w:szCs w:val="20"/>
        </w:rPr>
        <w:t>České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Budějovice</w:t>
      </w:r>
      <w:proofErr w:type="spellEnd"/>
    </w:p>
    <w:p w14:paraId="6E2A5476" w14:textId="77777777" w:rsidR="00034DFE" w:rsidRDefault="00034DFE" w:rsidP="00034DFE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13"/>
          <w:szCs w:val="13"/>
        </w:rPr>
        <w:t>3</w:t>
      </w:r>
      <w:r>
        <w:rPr>
          <w:rFonts w:ascii="ArialMT" w:hAnsi="ArialMT"/>
          <w:sz w:val="20"/>
          <w:szCs w:val="20"/>
        </w:rPr>
        <w:t>University of Hradec Kralove, Czech Republic</w:t>
      </w:r>
    </w:p>
    <w:p w14:paraId="68F71CD0" w14:textId="77777777" w:rsidR="00034DFE" w:rsidRDefault="00034DFE" w:rsidP="00034DFE">
      <w:pPr>
        <w:autoSpaceDE w:val="0"/>
        <w:autoSpaceDN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*Presenting author</w:t>
      </w:r>
    </w:p>
    <w:p w14:paraId="602B4E7B" w14:textId="6A54A448" w:rsidR="00034DFE" w:rsidRDefault="00A72C11" w:rsidP="00034DFE">
      <w:pPr>
        <w:autoSpaceDE w:val="0"/>
        <w:autoSpaceDN w:val="0"/>
      </w:pPr>
      <w:r>
        <w:t xml:space="preserve">Fish genomes are AT/GC </w:t>
      </w:r>
      <w:r w:rsidR="00034DFE">
        <w:t>homogenous</w:t>
      </w:r>
      <w:r>
        <w:t xml:space="preserve"> in comparison with </w:t>
      </w:r>
      <w:r>
        <w:t>heterogeneous</w:t>
      </w:r>
      <w:r>
        <w:t xml:space="preserve"> genomes of mammals and birds</w:t>
      </w:r>
      <w:r w:rsidR="00034DFE">
        <w:t>. Th</w:t>
      </w:r>
      <w:r>
        <w:t>e</w:t>
      </w:r>
      <w:r w:rsidR="00034DFE">
        <w:t xml:space="preserve"> heterogeneity</w:t>
      </w:r>
      <w:r>
        <w:t xml:space="preserve"> in mammals</w:t>
      </w:r>
      <w:r w:rsidR="00034DFE">
        <w:t xml:space="preserve"> is apparent on DNA sequences</w:t>
      </w:r>
      <w:r>
        <w:t xml:space="preserve"> </w:t>
      </w:r>
      <w:r w:rsidR="00034DFE">
        <w:t>as well as on chromosomes upon a suitable staining. With our finding that both extant genera of</w:t>
      </w:r>
      <w:r>
        <w:t xml:space="preserve"> </w:t>
      </w:r>
      <w:r w:rsidR="00034DFE">
        <w:t>ancient ray-finned fish gars possess AT/GC heterogenous genomes similarly as mammals do, we</w:t>
      </w:r>
      <w:r>
        <w:t xml:space="preserve"> </w:t>
      </w:r>
      <w:r w:rsidR="00034DFE">
        <w:t>initiated a search for possible reasons of this compositional heterogeneity. In this effort, we</w:t>
      </w:r>
      <w:r>
        <w:t xml:space="preserve"> </w:t>
      </w:r>
      <w:r w:rsidR="00034DFE">
        <w:t>developed a Python tool segmenting genomes assembled to the chromosome level according to their</w:t>
      </w:r>
      <w:r>
        <w:t xml:space="preserve"> </w:t>
      </w:r>
      <w:r w:rsidR="00034DFE">
        <w:t>GC% and repetitive content (soft-masked DNA) and plotting these values in a single plot. The plot is</w:t>
      </w:r>
      <w:r>
        <w:t xml:space="preserve"> </w:t>
      </w:r>
      <w:r w:rsidR="00034DFE">
        <w:t>represented by a colored profile of GC% values along the chromosomes, where the color</w:t>
      </w:r>
      <w:r>
        <w:t xml:space="preserve"> </w:t>
      </w:r>
      <w:r w:rsidR="00034DFE">
        <w:t>represents the gradient between the fully repetitive DNA (green) and fully non-repetitive DNA (red)</w:t>
      </w:r>
      <w:r>
        <w:t xml:space="preserve"> </w:t>
      </w:r>
      <w:r w:rsidR="00034DFE">
        <w:t xml:space="preserve">with the sliding window of the size 1 kb as the default but freely adjustable. Our survey across </w:t>
      </w:r>
      <w:r w:rsidR="00D85C13">
        <w:t xml:space="preserve">numerous freshwater </w:t>
      </w:r>
      <w:r w:rsidR="00034DFE">
        <w:t>fish</w:t>
      </w:r>
      <w:r>
        <w:t xml:space="preserve"> </w:t>
      </w:r>
      <w:r w:rsidR="00034DFE">
        <w:t>assemblies with this tool showed the repetitive fraction as the potentially AT/GC</w:t>
      </w:r>
      <w:r w:rsidR="00D85C13">
        <w:t xml:space="preserve"> </w:t>
      </w:r>
      <w:r w:rsidR="00034DFE">
        <w:t>homogenizing factor in lower vertebrates. At this stage, the quality of the soft-masking procedure is</w:t>
      </w:r>
      <w:r w:rsidR="00D85C13">
        <w:t xml:space="preserve"> </w:t>
      </w:r>
      <w:r w:rsidR="00034DFE">
        <w:t>the most crucial step. Otherwise, this tool can be used in any other group with genomes assembled</w:t>
      </w:r>
      <w:r w:rsidR="00D85C13">
        <w:t xml:space="preserve"> </w:t>
      </w:r>
      <w:r w:rsidR="00034DFE">
        <w:t>to the chromosome level, e.g. plants and fungi, to explore the role of the repetitive fraction in other</w:t>
      </w:r>
      <w:r w:rsidR="00D85C13">
        <w:t xml:space="preserve"> </w:t>
      </w:r>
      <w:r w:rsidR="00034DFE">
        <w:t>major lineages beside vertebrates.</w:t>
      </w:r>
    </w:p>
    <w:p w14:paraId="4EE9F572" w14:textId="00F6A177" w:rsidR="00DB1029" w:rsidRDefault="00DB1029"/>
    <w:p w14:paraId="109D0A81" w14:textId="333FEAD8" w:rsidR="00A179FC" w:rsidRDefault="00A179FC">
      <w:r>
        <w:t>Acknowledgement</w:t>
      </w:r>
    </w:p>
    <w:p w14:paraId="36211D89" w14:textId="085ED93E" w:rsidR="00A179FC" w:rsidRDefault="00A72C11" w:rsidP="00A72C11">
      <w:r w:rsidRPr="00A72C11">
        <w:t xml:space="preserve">The study was supported by the European Union within ESIF in frame of Operational </w:t>
      </w:r>
      <w:proofErr w:type="spellStart"/>
      <w:r w:rsidRPr="00A72C11">
        <w:t>Programe</w:t>
      </w:r>
      <w:proofErr w:type="spellEnd"/>
      <w:r w:rsidRPr="00A72C11">
        <w:t xml:space="preserve"> Research, Development and Education (project no. CZ.02.1.01/0.0/0.0/16_025/0007417 administrated by the Ministry of Education, Youth and Sports of the Czech Republic)</w:t>
      </w:r>
    </w:p>
    <w:sectPr w:rsidR="00A1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FE"/>
    <w:rsid w:val="00034DFE"/>
    <w:rsid w:val="004E4754"/>
    <w:rsid w:val="00A179FC"/>
    <w:rsid w:val="00A72C11"/>
    <w:rsid w:val="00D85C13"/>
    <w:rsid w:val="00D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2D1F"/>
  <w15:chartTrackingRefBased/>
  <w15:docId w15:val="{4A231FD4-FD39-464D-B63D-271ACB03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F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Symonová Radka</dc:creator>
  <cp:keywords/>
  <dc:description/>
  <cp:lastModifiedBy>Symonová Radka</cp:lastModifiedBy>
  <cp:revision>4</cp:revision>
  <dcterms:created xsi:type="dcterms:W3CDTF">2022-05-07T18:42:00Z</dcterms:created>
  <dcterms:modified xsi:type="dcterms:W3CDTF">2022-05-07T18:55:00Z</dcterms:modified>
</cp:coreProperties>
</file>