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D2B" w14:textId="0A61D704" w:rsidR="00F16583" w:rsidRPr="007C55B1" w:rsidRDefault="00F16583" w:rsidP="00D52A1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55B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use of a targeted RNA sequencing-based approach for the detection of clinically relevant fusion genes in pediatric cancer patients</w:t>
      </w:r>
    </w:p>
    <w:p w14:paraId="66825CB0" w14:textId="3534657F" w:rsidR="009F10D9" w:rsidRPr="007C55B1" w:rsidRDefault="009F10D9" w:rsidP="00D52A15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C55B1">
        <w:rPr>
          <w:rFonts w:ascii="Times New Roman" w:hAnsi="Times New Roman" w:cs="Times New Roman"/>
          <w:sz w:val="20"/>
          <w:szCs w:val="20"/>
          <w:lang w:val="en-US"/>
        </w:rPr>
        <w:t>Dagmar Al Tukmachi</w:t>
      </w:r>
      <w:r w:rsidR="00863017" w:rsidRPr="007C55B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7C55B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6301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Petra </w:t>
      </w:r>
      <w:proofErr w:type="spellStart"/>
      <w:r w:rsidR="00863017" w:rsidRPr="007C55B1">
        <w:rPr>
          <w:rFonts w:ascii="Times New Roman" w:hAnsi="Times New Roman" w:cs="Times New Roman"/>
          <w:sz w:val="20"/>
          <w:szCs w:val="20"/>
          <w:lang w:val="en-US"/>
        </w:rPr>
        <w:t>Vesel</w:t>
      </w:r>
      <w:proofErr w:type="spellEnd"/>
      <w:r w:rsidR="00863017" w:rsidRPr="007C55B1">
        <w:rPr>
          <w:rFonts w:ascii="Times New Roman" w:hAnsi="Times New Roman" w:cs="Times New Roman"/>
          <w:sz w:val="20"/>
          <w:szCs w:val="20"/>
        </w:rPr>
        <w:t>á</w:t>
      </w:r>
      <w:r w:rsidR="00863017" w:rsidRPr="007C55B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63017" w:rsidRPr="007C55B1">
        <w:rPr>
          <w:rFonts w:ascii="Times New Roman" w:hAnsi="Times New Roman" w:cs="Times New Roman"/>
          <w:sz w:val="20"/>
          <w:szCs w:val="20"/>
        </w:rPr>
        <w:t>, Karolína Trachtová</w:t>
      </w:r>
      <w:r w:rsidR="00863017" w:rsidRPr="007C55B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63017" w:rsidRPr="007C55B1">
        <w:rPr>
          <w:rFonts w:ascii="Times New Roman" w:hAnsi="Times New Roman" w:cs="Times New Roman"/>
          <w:sz w:val="20"/>
          <w:szCs w:val="20"/>
        </w:rPr>
        <w:t>, Vojtěch Bystrý</w:t>
      </w:r>
      <w:r w:rsidR="00863017" w:rsidRPr="007C55B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63017" w:rsidRPr="007C55B1">
        <w:rPr>
          <w:rFonts w:ascii="Times New Roman" w:hAnsi="Times New Roman" w:cs="Times New Roman"/>
          <w:sz w:val="20"/>
          <w:szCs w:val="20"/>
        </w:rPr>
        <w:t>, Boris Tichý</w:t>
      </w:r>
      <w:r w:rsidR="00863017" w:rsidRPr="007C55B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63017" w:rsidRPr="007C55B1">
        <w:rPr>
          <w:rFonts w:ascii="Times New Roman" w:hAnsi="Times New Roman" w:cs="Times New Roman"/>
          <w:sz w:val="20"/>
          <w:szCs w:val="20"/>
        </w:rPr>
        <w:t>, Ondřej Slabý</w:t>
      </w:r>
      <w:r w:rsidR="00863017" w:rsidRPr="007C55B1">
        <w:rPr>
          <w:rFonts w:ascii="Times New Roman" w:hAnsi="Times New Roman" w:cs="Times New Roman"/>
          <w:sz w:val="20"/>
          <w:szCs w:val="20"/>
          <w:vertAlign w:val="superscript"/>
        </w:rPr>
        <w:t>1,2,3</w:t>
      </w:r>
    </w:p>
    <w:p w14:paraId="15ED5D84" w14:textId="42678B24" w:rsidR="009F10D9" w:rsidRPr="007C55B1" w:rsidRDefault="009F10D9" w:rsidP="00863017">
      <w:pPr>
        <w:rPr>
          <w:rFonts w:ascii="Times New Roman" w:hAnsi="Times New Roman" w:cs="Times New Roman"/>
          <w:i/>
          <w:sz w:val="20"/>
          <w:szCs w:val="20"/>
        </w:rPr>
      </w:pPr>
      <w:r w:rsidRPr="007C55B1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C55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301B" w:rsidRPr="0049301B">
        <w:rPr>
          <w:rFonts w:ascii="Times New Roman" w:hAnsi="Times New Roman" w:cs="Times New Roman"/>
          <w:i/>
          <w:sz w:val="20"/>
          <w:szCs w:val="20"/>
        </w:rPr>
        <w:t>Central</w:t>
      </w:r>
      <w:proofErr w:type="spellEnd"/>
      <w:r w:rsidR="0049301B" w:rsidRPr="004930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9301B" w:rsidRPr="0049301B">
        <w:rPr>
          <w:rFonts w:ascii="Times New Roman" w:hAnsi="Times New Roman" w:cs="Times New Roman"/>
          <w:i/>
          <w:sz w:val="20"/>
          <w:szCs w:val="20"/>
        </w:rPr>
        <w:t>European</w:t>
      </w:r>
      <w:proofErr w:type="spellEnd"/>
      <w:r w:rsidR="0049301B" w:rsidRPr="0049301B">
        <w:rPr>
          <w:rFonts w:ascii="Times New Roman" w:hAnsi="Times New Roman" w:cs="Times New Roman"/>
          <w:i/>
          <w:sz w:val="20"/>
          <w:szCs w:val="20"/>
        </w:rPr>
        <w:t xml:space="preserve"> Institute </w:t>
      </w:r>
      <w:proofErr w:type="spellStart"/>
      <w:r w:rsidR="0049301B" w:rsidRPr="0049301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49301B" w:rsidRPr="0049301B">
        <w:rPr>
          <w:rFonts w:ascii="Times New Roman" w:hAnsi="Times New Roman" w:cs="Times New Roman"/>
          <w:i/>
          <w:sz w:val="20"/>
          <w:szCs w:val="20"/>
        </w:rPr>
        <w:t xml:space="preserve"> Technology</w:t>
      </w:r>
      <w:r w:rsidR="0049301B">
        <w:rPr>
          <w:rFonts w:ascii="Times New Roman" w:hAnsi="Times New Roman" w:cs="Times New Roman"/>
          <w:i/>
          <w:sz w:val="20"/>
          <w:szCs w:val="20"/>
        </w:rPr>
        <w:t xml:space="preserve"> (CEITEC)</w:t>
      </w:r>
      <w:r w:rsidRPr="007C55B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9E6958">
        <w:rPr>
          <w:rFonts w:ascii="Times New Roman" w:hAnsi="Times New Roman" w:cs="Times New Roman"/>
          <w:i/>
          <w:sz w:val="20"/>
          <w:szCs w:val="20"/>
        </w:rPr>
        <w:t>MU</w:t>
      </w:r>
      <w:r w:rsidR="0049301B">
        <w:rPr>
          <w:rFonts w:ascii="Times New Roman" w:hAnsi="Times New Roman" w:cs="Times New Roman"/>
          <w:i/>
          <w:sz w:val="20"/>
          <w:szCs w:val="20"/>
        </w:rPr>
        <w:t>,</w:t>
      </w:r>
      <w:r w:rsidRPr="007C55B1">
        <w:rPr>
          <w:rFonts w:ascii="Times New Roman" w:hAnsi="Times New Roman" w:cs="Times New Roman"/>
          <w:i/>
          <w:sz w:val="20"/>
          <w:szCs w:val="20"/>
        </w:rPr>
        <w:t xml:space="preserve"> Brno</w:t>
      </w:r>
      <w:r w:rsidR="00863017" w:rsidRPr="007C55B1">
        <w:rPr>
          <w:rFonts w:ascii="Times New Roman" w:hAnsi="Times New Roman" w:cs="Times New Roman"/>
          <w:i/>
          <w:sz w:val="20"/>
          <w:szCs w:val="20"/>
        </w:rPr>
        <w:br/>
      </w:r>
      <w:r w:rsidR="00863017" w:rsidRPr="007C55B1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7C55B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9E695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9E6958" w:rsidRPr="009E6958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="009E6958" w:rsidRPr="009E695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9E6958" w:rsidRPr="009E6958">
        <w:rPr>
          <w:rFonts w:ascii="Times New Roman" w:hAnsi="Times New Roman" w:cs="Times New Roman"/>
          <w:i/>
          <w:sz w:val="20"/>
          <w:szCs w:val="20"/>
        </w:rPr>
        <w:t xml:space="preserve"> Biology</w:t>
      </w:r>
      <w:r w:rsidR="009E695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9E6958">
        <w:rPr>
          <w:rFonts w:ascii="Times New Roman" w:hAnsi="Times New Roman" w:cs="Times New Roman"/>
          <w:i/>
          <w:sz w:val="20"/>
          <w:szCs w:val="20"/>
        </w:rPr>
        <w:t>Faculty</w:t>
      </w:r>
      <w:proofErr w:type="spellEnd"/>
      <w:r w:rsidR="009E695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E695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9E695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E6958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="009E6958">
        <w:rPr>
          <w:rFonts w:ascii="Times New Roman" w:hAnsi="Times New Roman" w:cs="Times New Roman"/>
          <w:i/>
          <w:sz w:val="20"/>
          <w:szCs w:val="20"/>
        </w:rPr>
        <w:t xml:space="preserve"> MU</w:t>
      </w:r>
      <w:r w:rsidR="0049301B">
        <w:rPr>
          <w:rFonts w:ascii="Times New Roman" w:hAnsi="Times New Roman" w:cs="Times New Roman"/>
          <w:i/>
          <w:sz w:val="20"/>
          <w:szCs w:val="20"/>
        </w:rPr>
        <w:t>,</w:t>
      </w:r>
      <w:r w:rsidRPr="007C55B1">
        <w:rPr>
          <w:rFonts w:ascii="Times New Roman" w:hAnsi="Times New Roman" w:cs="Times New Roman"/>
          <w:i/>
          <w:sz w:val="20"/>
          <w:szCs w:val="20"/>
        </w:rPr>
        <w:t xml:space="preserve"> Brno</w:t>
      </w:r>
      <w:r w:rsidR="00863017" w:rsidRPr="007C55B1">
        <w:rPr>
          <w:rFonts w:ascii="Times New Roman" w:hAnsi="Times New Roman" w:cs="Times New Roman"/>
          <w:i/>
          <w:sz w:val="20"/>
          <w:szCs w:val="20"/>
          <w:vertAlign w:val="superscript"/>
        </w:rPr>
        <w:br/>
        <w:t>3</w:t>
      </w:r>
      <w:r w:rsidRPr="007C55B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E6958" w:rsidRPr="009E6958">
        <w:rPr>
          <w:rFonts w:ascii="Times New Roman" w:hAnsi="Times New Roman" w:cs="Times New Roman"/>
          <w:i/>
          <w:sz w:val="20"/>
          <w:szCs w:val="20"/>
        </w:rPr>
        <w:t>Comprehensive</w:t>
      </w:r>
      <w:proofErr w:type="spellEnd"/>
      <w:r w:rsidR="009E6958" w:rsidRPr="009E695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E6958" w:rsidRPr="009E6958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="009E6958" w:rsidRPr="009E6958">
        <w:rPr>
          <w:rFonts w:ascii="Times New Roman" w:hAnsi="Times New Roman" w:cs="Times New Roman"/>
          <w:i/>
          <w:sz w:val="20"/>
          <w:szCs w:val="20"/>
        </w:rPr>
        <w:t xml:space="preserve"> Care Department</w:t>
      </w:r>
      <w:r w:rsidR="00B27FF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368C7" w:rsidRPr="00B368C7">
        <w:rPr>
          <w:rFonts w:ascii="Times New Roman" w:hAnsi="Times New Roman" w:cs="Times New Roman"/>
          <w:i/>
          <w:sz w:val="20"/>
          <w:szCs w:val="20"/>
        </w:rPr>
        <w:t xml:space="preserve">Masaryk </w:t>
      </w:r>
      <w:proofErr w:type="spellStart"/>
      <w:r w:rsidR="00B368C7" w:rsidRPr="00B368C7">
        <w:rPr>
          <w:rFonts w:ascii="Times New Roman" w:hAnsi="Times New Roman" w:cs="Times New Roman"/>
          <w:i/>
          <w:sz w:val="20"/>
          <w:szCs w:val="20"/>
        </w:rPr>
        <w:t>Memorial</w:t>
      </w:r>
      <w:proofErr w:type="spellEnd"/>
      <w:r w:rsidR="00B368C7" w:rsidRPr="00B368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8C7" w:rsidRPr="00B368C7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="00B368C7" w:rsidRPr="00B368C7">
        <w:rPr>
          <w:rFonts w:ascii="Times New Roman" w:hAnsi="Times New Roman" w:cs="Times New Roman"/>
          <w:i/>
          <w:sz w:val="20"/>
          <w:szCs w:val="20"/>
        </w:rPr>
        <w:t xml:space="preserve"> Institute</w:t>
      </w:r>
      <w:r w:rsidR="00B368C7" w:rsidRPr="00B368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368C7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="00B368C7" w:rsidRPr="00B368C7">
        <w:rPr>
          <w:rFonts w:ascii="Times New Roman" w:hAnsi="Times New Roman" w:cs="Times New Roman"/>
          <w:i/>
          <w:sz w:val="20"/>
          <w:szCs w:val="20"/>
        </w:rPr>
        <w:t>FM MU</w:t>
      </w:r>
      <w:r w:rsidR="009E695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7B42DB" w:rsidRPr="007B42DB">
        <w:rPr>
          <w:rFonts w:ascii="Times New Roman" w:hAnsi="Times New Roman" w:cs="Times New Roman"/>
          <w:i/>
          <w:sz w:val="20"/>
          <w:szCs w:val="20"/>
        </w:rPr>
        <w:t>Brno</w:t>
      </w:r>
    </w:p>
    <w:p w14:paraId="394134A4" w14:textId="22B200ED" w:rsidR="00573266" w:rsidRPr="007C55B1" w:rsidRDefault="00A85CB4" w:rsidP="00AF58D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55B1">
        <w:rPr>
          <w:rFonts w:ascii="Times New Roman" w:hAnsi="Times New Roman" w:cs="Times New Roman"/>
          <w:sz w:val="20"/>
          <w:szCs w:val="20"/>
          <w:lang w:val="en-US"/>
        </w:rPr>
        <w:t>Childhood cancers are among the rare diseases with an annual incidence of around 350-400 new cases</w:t>
      </w:r>
      <w:r w:rsidR="00F16583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r w:rsidR="007C55B1">
        <w:rPr>
          <w:rFonts w:ascii="Times New Roman" w:hAnsi="Times New Roman" w:cs="Times New Roman"/>
          <w:sz w:val="20"/>
          <w:szCs w:val="20"/>
          <w:lang w:val="en-US"/>
        </w:rPr>
        <w:t xml:space="preserve">the Czech Republic </w:t>
      </w:r>
      <w:r w:rsidR="00D52A15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and represent </w:t>
      </w:r>
      <w:r w:rsidRPr="007C55B1">
        <w:rPr>
          <w:rFonts w:ascii="Times New Roman" w:hAnsi="Times New Roman" w:cs="Times New Roman"/>
          <w:sz w:val="20"/>
          <w:szCs w:val="20"/>
          <w:lang w:val="en-US"/>
        </w:rPr>
        <w:t>the second most common cause of death in this age group.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326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>significant</w:t>
      </w:r>
      <w:r w:rsidR="0057326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advances in molecular </w:t>
      </w:r>
      <w:r w:rsidR="002F0229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profiling </w:t>
      </w:r>
      <w:r w:rsidR="0057326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techniques and their successful implementation </w:t>
      </w:r>
      <w:r w:rsidR="002F0229" w:rsidRPr="007C55B1">
        <w:rPr>
          <w:rFonts w:ascii="Times New Roman" w:hAnsi="Times New Roman" w:cs="Times New Roman"/>
          <w:sz w:val="20"/>
          <w:szCs w:val="20"/>
          <w:lang w:val="en-US"/>
        </w:rPr>
        <w:t>within various precision oncology programs and pediatric pan-cancer profiling initiatives, different</w:t>
      </w:r>
      <w:r w:rsidR="00D52A15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NGS-based</w:t>
      </w:r>
      <w:r w:rsidR="002F0229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methods are becoming more routinely used in a clinical setting.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55B1">
        <w:rPr>
          <w:rFonts w:ascii="Times New Roman" w:hAnsi="Times New Roman" w:cs="Times New Roman"/>
          <w:sz w:val="20"/>
          <w:szCs w:val="20"/>
          <w:lang w:val="en-US"/>
        </w:rPr>
        <w:t>Fusion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gene analysis is </w:t>
      </w:r>
      <w:r w:rsidR="007D5497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>great importance for diagnostic and prognostic stratification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therapeutic planning</w:t>
      </w:r>
      <w:r w:rsidR="007C55B1">
        <w:rPr>
          <w:rFonts w:ascii="Times New Roman" w:hAnsi="Times New Roman" w:cs="Times New Roman"/>
          <w:sz w:val="20"/>
          <w:szCs w:val="20"/>
          <w:lang w:val="en-US"/>
        </w:rPr>
        <w:t xml:space="preserve"> among these methods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9310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0203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Between September 2019 and May 2022, </w:t>
      </w:r>
      <w:r w:rsidR="00083563" w:rsidRPr="007C55B1">
        <w:rPr>
          <w:rFonts w:ascii="Times New Roman" w:hAnsi="Times New Roman" w:cs="Times New Roman"/>
          <w:sz w:val="20"/>
          <w:szCs w:val="20"/>
          <w:lang w:val="en-US"/>
        </w:rPr>
        <w:t>243</w:t>
      </w:r>
      <w:r w:rsidR="00DE312D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pediatric cancer</w:t>
      </w:r>
      <w:r w:rsidR="00EC0203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patients underwent fusion gene analysis using targeted RNA sequencing.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083563" w:rsidRPr="007C55B1">
        <w:rPr>
          <w:rFonts w:ascii="Times New Roman" w:hAnsi="Times New Roman" w:cs="Times New Roman"/>
          <w:sz w:val="20"/>
          <w:szCs w:val="20"/>
          <w:lang w:val="en-US"/>
        </w:rPr>
        <w:t>210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cases, the analysis was carried out as a part of a complex </w:t>
      </w:r>
      <w:r w:rsidR="00083563" w:rsidRPr="007C55B1">
        <w:rPr>
          <w:rFonts w:ascii="Times New Roman" w:hAnsi="Times New Roman" w:cs="Times New Roman"/>
          <w:sz w:val="20"/>
          <w:szCs w:val="20"/>
          <w:lang w:val="en-US"/>
        </w:rPr>
        <w:t>tumor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83563" w:rsidRPr="007C55B1">
        <w:rPr>
          <w:rFonts w:ascii="Times New Roman" w:hAnsi="Times New Roman" w:cs="Times New Roman"/>
          <w:sz w:val="20"/>
          <w:szCs w:val="20"/>
          <w:lang w:val="en-US"/>
        </w:rPr>
        <w:t>profiling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within a precision oncology program.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76D2D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Sequencing libraries from both 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>fresh-frozen</w:t>
      </w:r>
      <w:r w:rsidR="00B76D2D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and FFPE tissue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were prepared using </w:t>
      </w:r>
      <w:proofErr w:type="spellStart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TruSight</w:t>
      </w:r>
      <w:proofErr w:type="spellEnd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RNA Pan-Cancer Panel (Illumina) covering 1385 c</w:t>
      </w:r>
      <w:r w:rsidR="000B2150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ancer-associated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genes and sequenced on </w:t>
      </w:r>
      <w:proofErr w:type="spellStart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NextSeq</w:t>
      </w:r>
      <w:proofErr w:type="spellEnd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500 platform using </w:t>
      </w:r>
      <w:proofErr w:type="spellStart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NextSeq</w:t>
      </w:r>
      <w:proofErr w:type="spellEnd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Mid Output Kit (150 cycles) (Illumina).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Raw reads were quality checked with the </w:t>
      </w:r>
      <w:proofErr w:type="spellStart"/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>ast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>QC</w:t>
      </w:r>
      <w:proofErr w:type="spellEnd"/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package (version 0.11.9)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>. Adapter sequences were identified and</w:t>
      </w:r>
      <w:r w:rsidR="002357CD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>trimmed with</w:t>
      </w:r>
      <w:r w:rsidR="002357CD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357CD" w:rsidRPr="007C55B1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>rimmomatic</w:t>
      </w:r>
      <w:proofErr w:type="spellEnd"/>
      <w:r w:rsidR="004E365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tool. Trimmed r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eads were </w:t>
      </w:r>
      <w:r w:rsidR="007C55B1">
        <w:rPr>
          <w:rFonts w:ascii="Times New Roman" w:hAnsi="Times New Roman" w:cs="Times New Roman"/>
          <w:sz w:val="20"/>
          <w:szCs w:val="20"/>
          <w:lang w:val="en-US"/>
        </w:rPr>
        <w:t xml:space="preserve">then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mapped to reference genome hg38 using </w:t>
      </w:r>
      <w:r w:rsidR="00F16583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STAR aligner with parameters set to allow fusion gene detection.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Mapping quality was checked using </w:t>
      </w:r>
      <w:proofErr w:type="spellStart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QualiMap</w:t>
      </w:r>
      <w:proofErr w:type="spellEnd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and Picard tools.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Fusion genes were identified using Arriba and </w:t>
      </w:r>
      <w:proofErr w:type="spellStart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STARfusion</w:t>
      </w:r>
      <w:proofErr w:type="spellEnd"/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58D7" w:rsidRPr="007C55B1">
        <w:rPr>
          <w:rFonts w:ascii="Times New Roman" w:hAnsi="Times New Roman" w:cs="Times New Roman"/>
          <w:sz w:val="20"/>
          <w:szCs w:val="20"/>
          <w:lang w:val="en-US"/>
        </w:rPr>
        <w:t>Visual verification of identified fusion genes was performed using IGV software.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CD6BD0" w:rsidRPr="007C55B1">
        <w:rPr>
          <w:rFonts w:ascii="Times New Roman" w:hAnsi="Times New Roman" w:cs="Times New Roman"/>
          <w:sz w:val="20"/>
          <w:szCs w:val="20"/>
          <w:lang w:val="en-US"/>
        </w:rPr>
        <w:t>26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% of cases, </w:t>
      </w:r>
      <w:r w:rsidR="00083563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1C70BF" w:rsidRPr="007C55B1">
        <w:rPr>
          <w:rFonts w:ascii="Times New Roman" w:hAnsi="Times New Roman" w:cs="Times New Roman"/>
          <w:sz w:val="20"/>
          <w:szCs w:val="20"/>
          <w:lang w:val="en-US"/>
        </w:rPr>
        <w:t>clinically relevant fusion gene was identified.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gramStart"/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>most commonly found</w:t>
      </w:r>
      <w:proofErr w:type="gramEnd"/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fusions included known drivers of sarcoma 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tumorigenesis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such as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29AA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EWSR1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4C29AA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FLI1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4C29AA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PAX3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4C29AA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FOXO1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C29AA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4C29AA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SS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18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SSX1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2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The second largest group consisted of fusion genes associated with CNS tumors, mainly low-grade gliomas, </w:t>
      </w:r>
      <w:r w:rsidR="00DE312D" w:rsidRPr="007C55B1">
        <w:rPr>
          <w:rFonts w:ascii="Times New Roman" w:hAnsi="Times New Roman" w:cs="Times New Roman"/>
          <w:sz w:val="20"/>
          <w:szCs w:val="20"/>
          <w:lang w:val="en-US"/>
        </w:rPr>
        <w:t>e.g.,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KIAA1549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BRAF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or other MAPK-activating fusions.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3266" w:rsidRPr="007C55B1">
        <w:rPr>
          <w:rFonts w:ascii="Times New Roman" w:hAnsi="Times New Roman" w:cs="Times New Roman"/>
          <w:sz w:val="20"/>
          <w:szCs w:val="20"/>
          <w:lang w:val="en-US"/>
        </w:rPr>
        <w:t>Approximately one-third of identified fusion genes were therapeutically actionable.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In one case, a novel fusion gene 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DVL3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667687" w:rsidRPr="007C55B1">
        <w:rPr>
          <w:rFonts w:ascii="Times New Roman" w:hAnsi="Times New Roman" w:cs="Times New Roman"/>
          <w:i/>
          <w:iCs/>
          <w:sz w:val="20"/>
          <w:szCs w:val="20"/>
          <w:lang w:val="en-US"/>
        </w:rPr>
        <w:t>TFE3</w:t>
      </w:r>
      <w:r w:rsidR="0057326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67687" w:rsidRPr="007C55B1">
        <w:rPr>
          <w:rFonts w:ascii="Times New Roman" w:hAnsi="Times New Roman" w:cs="Times New Roman"/>
          <w:sz w:val="20"/>
          <w:szCs w:val="20"/>
          <w:lang w:val="en-US"/>
        </w:rPr>
        <w:t>was identified, relevant to the renal cell carcinoma diagnosis of the analyzed patient.</w:t>
      </w:r>
      <w:r w:rsidR="00A9310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6B5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Targeted RNA sequencing has proven to be a sensitive and feasible strategy 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>contributing</w:t>
      </w:r>
      <w:r w:rsidR="00826B5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to patient stratification and treatment selection.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6B56" w:rsidRPr="007C55B1">
        <w:rPr>
          <w:rFonts w:ascii="Times New Roman" w:hAnsi="Times New Roman" w:cs="Times New Roman"/>
          <w:sz w:val="20"/>
          <w:szCs w:val="20"/>
          <w:lang w:val="en-US"/>
        </w:rPr>
        <w:t>Its ability to detect both clinically established and novel fusion genes is superior to PCR-based approaches that show only a limited throughput</w:t>
      </w:r>
      <w:r w:rsidR="00F9003E" w:rsidRPr="007C55B1">
        <w:rPr>
          <w:rFonts w:ascii="Times New Roman" w:hAnsi="Times New Roman" w:cs="Times New Roman"/>
          <w:sz w:val="20"/>
          <w:szCs w:val="20"/>
          <w:lang w:val="en-US"/>
        </w:rPr>
        <w:t>. Further</w:t>
      </w:r>
      <w:r w:rsidR="00826B56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 use of this method will allow </w:t>
      </w:r>
      <w:r w:rsidR="00DE312D" w:rsidRPr="007C55B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826B56" w:rsidRPr="007C55B1">
        <w:rPr>
          <w:rFonts w:ascii="Times New Roman" w:hAnsi="Times New Roman" w:cs="Times New Roman"/>
          <w:sz w:val="20"/>
          <w:szCs w:val="20"/>
          <w:lang w:val="en-US"/>
        </w:rPr>
        <w:t>better understanding of cancer biology.</w:t>
      </w:r>
    </w:p>
    <w:sectPr w:rsidR="00573266" w:rsidRPr="007C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AB"/>
    <w:rsid w:val="00011B63"/>
    <w:rsid w:val="00083563"/>
    <w:rsid w:val="000B2150"/>
    <w:rsid w:val="00147BDB"/>
    <w:rsid w:val="001C70BF"/>
    <w:rsid w:val="002357CD"/>
    <w:rsid w:val="00284BC7"/>
    <w:rsid w:val="002F0229"/>
    <w:rsid w:val="0049301B"/>
    <w:rsid w:val="004C29AA"/>
    <w:rsid w:val="004E365E"/>
    <w:rsid w:val="00573266"/>
    <w:rsid w:val="00610ED6"/>
    <w:rsid w:val="00667687"/>
    <w:rsid w:val="00667868"/>
    <w:rsid w:val="006F30B1"/>
    <w:rsid w:val="007465AB"/>
    <w:rsid w:val="007B42DB"/>
    <w:rsid w:val="007C55B1"/>
    <w:rsid w:val="007D5497"/>
    <w:rsid w:val="00826B56"/>
    <w:rsid w:val="00863017"/>
    <w:rsid w:val="00881815"/>
    <w:rsid w:val="008F4AB7"/>
    <w:rsid w:val="009E6958"/>
    <w:rsid w:val="009F10D9"/>
    <w:rsid w:val="00A85CB4"/>
    <w:rsid w:val="00A93106"/>
    <w:rsid w:val="00AF58D7"/>
    <w:rsid w:val="00B27FF5"/>
    <w:rsid w:val="00B368C7"/>
    <w:rsid w:val="00B76D2D"/>
    <w:rsid w:val="00C56862"/>
    <w:rsid w:val="00C73006"/>
    <w:rsid w:val="00CD6BD0"/>
    <w:rsid w:val="00D0274B"/>
    <w:rsid w:val="00D52A15"/>
    <w:rsid w:val="00DB6DA6"/>
    <w:rsid w:val="00DE312D"/>
    <w:rsid w:val="00EC0203"/>
    <w:rsid w:val="00F16583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43442"/>
  <w15:chartTrackingRefBased/>
  <w15:docId w15:val="{991B5FFC-BB80-4520-A1A6-8C38611E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64F9C9-22E4-964D-8D59-0BE444CB3C15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2531</Characters>
  <Application>Microsoft Office Word</Application>
  <DocSecurity>0</DocSecurity>
  <Lines>32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Pokorná</dc:creator>
  <cp:keywords/>
  <dc:description/>
  <cp:lastModifiedBy>Dagmar Al Tukmachi</cp:lastModifiedBy>
  <cp:revision>4</cp:revision>
  <dcterms:created xsi:type="dcterms:W3CDTF">2022-05-12T21:20:00Z</dcterms:created>
  <dcterms:modified xsi:type="dcterms:W3CDTF">2022-05-12T21:43:00Z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documentId_1602</vt:lpwstr>
  </property>
  <property fmtid="{D5CDD505-2E9C-101B-9397-08002B2CF9AE}" pid="3" name="grammarly_documentContext">
    <vt:lpwstr>{"goals":["describe","inform"],"domain":"academic","emotions":["neutral","analytical"],"dialect":"american"}</vt:lpwstr>
  </property>
</Properties>
</file>